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520B1211" w14:textId="24B3E40E" w:rsidR="00A1196B" w:rsidRPr="007B4CA4" w:rsidRDefault="00BC6257" w:rsidP="006A050F">
      <w:pPr>
        <w:pStyle w:val="Nadpis1"/>
        <w:rPr>
          <w:rFonts w:eastAsia="Calibri" w:cs="Arial"/>
          <w:bCs/>
          <w:color w:val="000000"/>
          <w:lang w:val="sk-SK" w:eastAsia="cs-CZ"/>
        </w:rPr>
      </w:pPr>
      <w:r>
        <w:rPr>
          <w:rFonts w:eastAsia="Calibri" w:cs="Arial"/>
          <w:bCs/>
          <w:color w:val="000000"/>
          <w:lang w:val="sk-SK" w:eastAsia="cs-CZ"/>
        </w:rPr>
        <w:t>DACHSER otvára nové logistické centrum v Lisabone</w:t>
      </w:r>
    </w:p>
    <w:p w14:paraId="5E4B46C2" w14:textId="4C0B7B99" w:rsidR="00BC6257" w:rsidRPr="00BD07B8" w:rsidRDefault="00BC6257" w:rsidP="00F2515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/>
          <w:bCs/>
          <w:color w:val="222222"/>
          <w:lang w:val="sk-SK"/>
        </w:rPr>
      </w:pPr>
      <w:r w:rsidRPr="00BC6257">
        <w:rPr>
          <w:rFonts w:ascii="Arial" w:hAnsi="Arial" w:cs="Arial"/>
          <w:b/>
          <w:bCs/>
          <w:color w:val="222222"/>
          <w:lang w:val="sk-SK"/>
        </w:rPr>
        <w:t xml:space="preserve">Nové priestory spoločnosti DACHSER </w:t>
      </w:r>
      <w:proofErr w:type="spellStart"/>
      <w:r w:rsidRPr="00BC6257">
        <w:rPr>
          <w:rFonts w:ascii="Arial" w:hAnsi="Arial" w:cs="Arial"/>
          <w:b/>
          <w:bCs/>
          <w:color w:val="222222"/>
          <w:lang w:val="sk-SK"/>
        </w:rPr>
        <w:t>Portugal</w:t>
      </w:r>
      <w:proofErr w:type="spellEnd"/>
      <w:r w:rsidRPr="00BC6257">
        <w:rPr>
          <w:rFonts w:ascii="Arial" w:hAnsi="Arial" w:cs="Arial"/>
          <w:b/>
          <w:bCs/>
          <w:color w:val="222222"/>
          <w:lang w:val="sk-SK"/>
        </w:rPr>
        <w:t xml:space="preserve">, ktoré sa nachádzajú v </w:t>
      </w:r>
      <w:proofErr w:type="spellStart"/>
      <w:r w:rsidRPr="00BC6257">
        <w:rPr>
          <w:rFonts w:ascii="Arial" w:hAnsi="Arial" w:cs="Arial"/>
          <w:b/>
          <w:bCs/>
          <w:color w:val="222222"/>
          <w:lang w:val="sk-SK"/>
        </w:rPr>
        <w:t>Castanheira</w:t>
      </w:r>
      <w:proofErr w:type="spellEnd"/>
      <w:r w:rsidRPr="00BC6257">
        <w:rPr>
          <w:rFonts w:ascii="Arial" w:hAnsi="Arial" w:cs="Arial"/>
          <w:b/>
          <w:bCs/>
          <w:color w:val="222222"/>
          <w:lang w:val="sk-SK"/>
        </w:rPr>
        <w:t xml:space="preserve"> do </w:t>
      </w:r>
      <w:proofErr w:type="spellStart"/>
      <w:r w:rsidRPr="00BC6257">
        <w:rPr>
          <w:rFonts w:ascii="Arial" w:hAnsi="Arial" w:cs="Arial"/>
          <w:b/>
          <w:bCs/>
          <w:color w:val="222222"/>
          <w:lang w:val="sk-SK"/>
        </w:rPr>
        <w:t>Ribatejo</w:t>
      </w:r>
      <w:proofErr w:type="spellEnd"/>
      <w:r w:rsidRPr="00BC6257">
        <w:rPr>
          <w:rFonts w:ascii="Arial" w:hAnsi="Arial" w:cs="Arial"/>
          <w:b/>
          <w:bCs/>
          <w:color w:val="222222"/>
          <w:lang w:val="sk-SK"/>
        </w:rPr>
        <w:t xml:space="preserve"> (Vila </w:t>
      </w:r>
      <w:proofErr w:type="spellStart"/>
      <w:r w:rsidRPr="00BC6257">
        <w:rPr>
          <w:rFonts w:ascii="Arial" w:hAnsi="Arial" w:cs="Arial"/>
          <w:b/>
          <w:bCs/>
          <w:color w:val="222222"/>
          <w:lang w:val="sk-SK"/>
        </w:rPr>
        <w:t>Franca</w:t>
      </w:r>
      <w:proofErr w:type="spellEnd"/>
      <w:r w:rsidRPr="00BC6257">
        <w:rPr>
          <w:rFonts w:ascii="Arial" w:hAnsi="Arial" w:cs="Arial"/>
          <w:b/>
          <w:bCs/>
          <w:color w:val="222222"/>
          <w:lang w:val="sk-SK"/>
        </w:rPr>
        <w:t xml:space="preserve"> de </w:t>
      </w:r>
      <w:proofErr w:type="spellStart"/>
      <w:r w:rsidRPr="00BC6257">
        <w:rPr>
          <w:rFonts w:ascii="Arial" w:hAnsi="Arial" w:cs="Arial"/>
          <w:b/>
          <w:bCs/>
          <w:color w:val="222222"/>
          <w:lang w:val="sk-SK"/>
        </w:rPr>
        <w:t>Xira</w:t>
      </w:r>
      <w:proofErr w:type="spellEnd"/>
      <w:r w:rsidRPr="00BC6257">
        <w:rPr>
          <w:rFonts w:ascii="Arial" w:hAnsi="Arial" w:cs="Arial"/>
          <w:b/>
          <w:bCs/>
          <w:color w:val="222222"/>
          <w:lang w:val="sk-SK"/>
        </w:rPr>
        <w:t>) v širšom okolí Lisabonu, predstavujú investíciu vo výške 13 miliónov eur a rozšíria kapacitu logistického poskytovateľa pre zákazníkov v danom regióne.</w:t>
      </w:r>
    </w:p>
    <w:p w14:paraId="46FDCCE5" w14:textId="77777777" w:rsidR="009946CB" w:rsidRDefault="009946CB" w:rsidP="009946CB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9946CB">
        <w:rPr>
          <w:rFonts w:ascii="Arial" w:hAnsi="Arial" w:cs="Arial"/>
          <w:bCs/>
          <w:sz w:val="22"/>
          <w:lang w:eastAsia="cs-CZ"/>
        </w:rPr>
        <w:t xml:space="preserve">Nové logistické centrum spoločnosti DACHSER v Lisabone je momentálne už v prevádzke. Logistické centrum, ktoré sa nachádza v </w:t>
      </w:r>
      <w:proofErr w:type="spellStart"/>
      <w:r w:rsidRPr="009946CB">
        <w:rPr>
          <w:rFonts w:ascii="Arial" w:hAnsi="Arial" w:cs="Arial"/>
          <w:bCs/>
          <w:sz w:val="22"/>
          <w:lang w:eastAsia="cs-CZ"/>
        </w:rPr>
        <w:t>Castanheira</w:t>
      </w:r>
      <w:proofErr w:type="spellEnd"/>
      <w:r w:rsidRPr="009946CB">
        <w:rPr>
          <w:rFonts w:ascii="Arial" w:hAnsi="Arial" w:cs="Arial"/>
          <w:bCs/>
          <w:sz w:val="22"/>
          <w:lang w:eastAsia="cs-CZ"/>
        </w:rPr>
        <w:t xml:space="preserve"> do </w:t>
      </w:r>
      <w:proofErr w:type="spellStart"/>
      <w:r w:rsidRPr="009946CB">
        <w:rPr>
          <w:rFonts w:ascii="Arial" w:hAnsi="Arial" w:cs="Arial"/>
          <w:bCs/>
          <w:sz w:val="22"/>
          <w:lang w:eastAsia="cs-CZ"/>
        </w:rPr>
        <w:t>Ribatejo</w:t>
      </w:r>
      <w:proofErr w:type="spellEnd"/>
      <w:r w:rsidRPr="009946CB">
        <w:rPr>
          <w:rFonts w:ascii="Arial" w:hAnsi="Arial" w:cs="Arial"/>
          <w:bCs/>
          <w:sz w:val="22"/>
          <w:lang w:eastAsia="cs-CZ"/>
        </w:rPr>
        <w:t xml:space="preserve"> (Vila </w:t>
      </w:r>
      <w:proofErr w:type="spellStart"/>
      <w:r w:rsidRPr="009946CB">
        <w:rPr>
          <w:rFonts w:ascii="Arial" w:hAnsi="Arial" w:cs="Arial"/>
          <w:bCs/>
          <w:sz w:val="22"/>
          <w:lang w:eastAsia="cs-CZ"/>
        </w:rPr>
        <w:t>Franca</w:t>
      </w:r>
      <w:proofErr w:type="spellEnd"/>
      <w:r w:rsidRPr="009946CB">
        <w:rPr>
          <w:rFonts w:ascii="Arial" w:hAnsi="Arial" w:cs="Arial"/>
          <w:bCs/>
          <w:sz w:val="22"/>
          <w:lang w:eastAsia="cs-CZ"/>
        </w:rPr>
        <w:t xml:space="preserve"> de </w:t>
      </w:r>
      <w:proofErr w:type="spellStart"/>
      <w:r w:rsidRPr="009946CB">
        <w:rPr>
          <w:rFonts w:ascii="Arial" w:hAnsi="Arial" w:cs="Arial"/>
          <w:bCs/>
          <w:sz w:val="22"/>
          <w:lang w:eastAsia="cs-CZ"/>
        </w:rPr>
        <w:t>Xira</w:t>
      </w:r>
      <w:proofErr w:type="spellEnd"/>
      <w:r w:rsidRPr="009946CB">
        <w:rPr>
          <w:rFonts w:ascii="Arial" w:hAnsi="Arial" w:cs="Arial"/>
          <w:bCs/>
          <w:sz w:val="22"/>
          <w:lang w:eastAsia="cs-CZ"/>
        </w:rPr>
        <w:t xml:space="preserve">), predstavuje investíciu vo výške 13 miliónov eur a umožní medzinárodnej logistickej spoločnosti ešte pružnejšie reagovať na potreby zákazníkov v lisabonskom regióne a jeho okolí, rovnako ako na národnom a európskom trhu. 150 zamestnancov, ktorí pracovali v bývalých priestoroch spoločnosti DACHSER v areáli </w:t>
      </w:r>
      <w:proofErr w:type="spellStart"/>
      <w:r w:rsidRPr="009946CB">
        <w:rPr>
          <w:rFonts w:ascii="Arial" w:hAnsi="Arial" w:cs="Arial"/>
          <w:bCs/>
          <w:sz w:val="22"/>
          <w:lang w:eastAsia="cs-CZ"/>
        </w:rPr>
        <w:t>Alverca</w:t>
      </w:r>
      <w:proofErr w:type="spellEnd"/>
      <w:r w:rsidRPr="009946CB">
        <w:rPr>
          <w:rFonts w:ascii="Arial" w:hAnsi="Arial" w:cs="Arial"/>
          <w:bCs/>
          <w:sz w:val="22"/>
          <w:lang w:eastAsia="cs-CZ"/>
        </w:rPr>
        <w:t xml:space="preserve"> do </w:t>
      </w:r>
      <w:proofErr w:type="spellStart"/>
      <w:r w:rsidRPr="009946CB">
        <w:rPr>
          <w:rFonts w:ascii="Arial" w:hAnsi="Arial" w:cs="Arial"/>
          <w:bCs/>
          <w:sz w:val="22"/>
          <w:lang w:eastAsia="cs-CZ"/>
        </w:rPr>
        <w:t>Ribatejo</w:t>
      </w:r>
      <w:proofErr w:type="spellEnd"/>
      <w:r w:rsidRPr="009946CB">
        <w:rPr>
          <w:rFonts w:ascii="Arial" w:hAnsi="Arial" w:cs="Arial"/>
          <w:bCs/>
          <w:sz w:val="22"/>
          <w:lang w:eastAsia="cs-CZ"/>
        </w:rPr>
        <w:t>, sa už presťahovalo do nového areálu, ktorý sa začal budovať v roku 2021podľa rovnakých štandardov ako najmodernejšie centrá spoločnosti v Európe.</w:t>
      </w:r>
    </w:p>
    <w:p w14:paraId="768CE10D" w14:textId="24240CB2" w:rsidR="005A7B36" w:rsidRDefault="005A7B36" w:rsidP="009946CB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5A7B36">
        <w:rPr>
          <w:rFonts w:ascii="Arial" w:hAnsi="Arial" w:cs="Arial"/>
          <w:bCs/>
          <w:sz w:val="22"/>
          <w:lang w:eastAsia="cs-CZ"/>
        </w:rPr>
        <w:t xml:space="preserve">Nové priestory sa nachádzajú v strategickej oblasti, umožňujúcej priame napojenie na rozsiahlu európsku sieť pozemnej dopravy spoločnosti DACHSER. "Pokiaľ ide o prevádzku, z našej pobočky v Lisabone zabezpečujeme priame denné linky do Francúzska (DACHSER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Eurohub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 v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Clermont-Ferrand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) a Nemecka (DACHSER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Eurohub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 v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Überherrne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), rovnako ako do všetkých provincií v Španielsku," vysvetľuje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Ricardo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Carvalho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>, riaditeľ pobočky v Lisabone, ktorý ďalej zdôrazňuje schopnosť dopravovať tovar pravidelne na báze týždenných odchodov prakticky kamkoľvek v Európe, a to prostredníctvom európskej logistickej siete DACHSER.</w:t>
      </w:r>
    </w:p>
    <w:p w14:paraId="1607CF19" w14:textId="3ED8DDDD" w:rsidR="005A7B36" w:rsidRDefault="005A7B36" w:rsidP="009946CB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5A7B36">
        <w:rPr>
          <w:rFonts w:ascii="Arial" w:hAnsi="Arial" w:cs="Arial"/>
          <w:bCs/>
          <w:sz w:val="22"/>
          <w:lang w:eastAsia="cs-CZ"/>
        </w:rPr>
        <w:t xml:space="preserve">Nový areál s celkovou rozlohou 59 200 metrov štvorcových umožňuje rýchlejšiu a efektívnejšiu prepravu priemyselného a spotrebného tovaru. Logistické centrum s plochou 7 396 metrov štvorcových vyhradenou pre dopravné služby a 65 nakladacími miestami (ktoré môžu byť v budúcnosti rozšírené o 3 796 metrov štvorcových a ďalších 40 nakladacích miest) je navrhnuté podľa efektívneho modelu, ktorý je v mnohých ohľadoch automatizovaný. Pre manipuláciu s tovarom a jeho presun v sklade je nová infraštruktúra vybavená najmodernejšími technológiami pre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cross-docking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 operácie prostredníctvom triediaceho systému, ktorý umožňuje separáciu objednávok. K preprave tovaru v rámci skladu sa taktiež využíva automatický reťazový systém prepravy paliet.</w:t>
      </w:r>
    </w:p>
    <w:p w14:paraId="20C446D2" w14:textId="01103C16" w:rsidR="005A7B36" w:rsidRPr="00731514" w:rsidRDefault="005A7B36" w:rsidP="009946CB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5A7B36">
        <w:rPr>
          <w:rFonts w:ascii="Arial" w:hAnsi="Arial" w:cs="Arial"/>
          <w:bCs/>
          <w:sz w:val="22"/>
          <w:lang w:eastAsia="cs-CZ"/>
        </w:rPr>
        <w:t xml:space="preserve">Logistické centrum bolo vybudované aj s ohľadom na optimalizáciu organizácie vozidiel: prístup pre nákladné vozidlá, nakládka a vykládka, všetko je plne automatizované a funguje na základe </w:t>
      </w:r>
      <w:r w:rsidRPr="005A7B36">
        <w:rPr>
          <w:rFonts w:ascii="Arial" w:hAnsi="Arial" w:cs="Arial"/>
          <w:bCs/>
          <w:sz w:val="22"/>
          <w:lang w:eastAsia="cs-CZ"/>
        </w:rPr>
        <w:lastRenderedPageBreak/>
        <w:t>rozpoznávania registračných značiek. K dispozícii je parkovisko pre viac ako 110 vozidiel a tiež „čakáreň“ s kapacitou pre 15 nákladných vozidiel, v ktorej je možné dané vozidlá usporiadať podľa príchodu do logistického centra. Okrem toho má pobočka k dispozícii dvojpodlažnú kancelársku budovu s celkovou rozlohou 1 411 metrov štvorcových.</w:t>
      </w:r>
    </w:p>
    <w:p w14:paraId="1A6BD86F" w14:textId="77777777" w:rsidR="005A7B36" w:rsidRDefault="005A7B36" w:rsidP="006009AB">
      <w:pPr>
        <w:pStyle w:val="Normal1"/>
        <w:rPr>
          <w:rFonts w:ascii="Arial" w:hAnsi="Arial" w:cs="Arial"/>
          <w:b/>
          <w:bCs/>
          <w:color w:val="222222"/>
          <w:sz w:val="22"/>
          <w:szCs w:val="22"/>
          <w:lang w:eastAsia="cs-CZ"/>
        </w:rPr>
      </w:pPr>
    </w:p>
    <w:p w14:paraId="328A965A" w14:textId="32B23882" w:rsidR="000A754B" w:rsidRPr="005A7B36" w:rsidRDefault="005A7B36" w:rsidP="005A7B36">
      <w:pPr>
        <w:pStyle w:val="Nadpis3"/>
        <w:rPr>
          <w:rFonts w:cs="Arial"/>
          <w:color w:val="222222"/>
          <w:lang w:val="sk-SK"/>
        </w:rPr>
      </w:pPr>
      <w:r w:rsidRPr="005A7B36">
        <w:rPr>
          <w:rFonts w:cs="Arial"/>
          <w:color w:val="222222"/>
          <w:lang w:val="sk-SK"/>
        </w:rPr>
        <w:t xml:space="preserve">Energetická efektivita je </w:t>
      </w:r>
      <w:r w:rsidRPr="005A7B36">
        <w:rPr>
          <w:rFonts w:cs="Arial"/>
          <w:color w:val="222222"/>
          <w:lang w:val="sk-SK"/>
        </w:rPr>
        <w:t>kľúčom k udržateľnosti</w:t>
      </w:r>
    </w:p>
    <w:p w14:paraId="4A3DB1E5" w14:textId="4FBB242F" w:rsidR="004D0DD8" w:rsidRDefault="005A7B36" w:rsidP="005A7B36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5A7B36">
        <w:rPr>
          <w:rFonts w:ascii="Arial" w:hAnsi="Arial" w:cs="Arial"/>
          <w:bCs/>
          <w:sz w:val="22"/>
          <w:lang w:eastAsia="cs-CZ"/>
        </w:rPr>
        <w:t xml:space="preserve">Nezabudlo sa ani na udržateľnosť. Logistický sklad je pokrytý solárnymi panelmi, má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aerotermálne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 zariadenie na zásobovanie teplou vodou, úsporné osvetlenie a klimatizačné systémy a inteligentné ovládanie na dosiahnutie vyššej energetickej efektívnosti.</w:t>
      </w:r>
    </w:p>
    <w:p w14:paraId="59680B7F" w14:textId="60D13F45" w:rsidR="005A7B36" w:rsidRDefault="005A7B36" w:rsidP="005A7B36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5A7B36">
        <w:rPr>
          <w:rFonts w:ascii="Arial" w:hAnsi="Arial" w:cs="Arial"/>
          <w:bCs/>
          <w:i/>
          <w:iCs/>
          <w:sz w:val="22"/>
          <w:lang w:eastAsia="cs-CZ"/>
        </w:rPr>
        <w:t>"Vďaka nášmu novému logistickému centru v Lisabone, ktoré spĺňa konštrukčné a organizačné štandardy najmodernejších pobočiek spoločnosti DACHSER v Európe, budeme schopní ešte rýchlejšie, efektívnejšie a na mieru reagovať na potreby našich zákazníkov na národných a európskych trhoch,"</w:t>
      </w:r>
      <w:r w:rsidRPr="005A7B36">
        <w:rPr>
          <w:rFonts w:ascii="Arial" w:hAnsi="Arial" w:cs="Arial"/>
          <w:bCs/>
          <w:sz w:val="22"/>
          <w:lang w:eastAsia="cs-CZ"/>
        </w:rPr>
        <w:t xml:space="preserve"> vysvetľuje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Celestino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Silva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, generálny riaditeľ európskej logistiky </w:t>
      </w:r>
      <w:proofErr w:type="spellStart"/>
      <w:r w:rsidRPr="005A7B36">
        <w:rPr>
          <w:rFonts w:ascii="Arial" w:hAnsi="Arial" w:cs="Arial"/>
          <w:bCs/>
          <w:sz w:val="22"/>
          <w:lang w:eastAsia="cs-CZ"/>
        </w:rPr>
        <w:t>Iberia</w:t>
      </w:r>
      <w:proofErr w:type="spellEnd"/>
      <w:r w:rsidRPr="005A7B36">
        <w:rPr>
          <w:rFonts w:ascii="Arial" w:hAnsi="Arial" w:cs="Arial"/>
          <w:bCs/>
          <w:sz w:val="22"/>
          <w:lang w:eastAsia="cs-CZ"/>
        </w:rPr>
        <w:t xml:space="preserve"> v spoločnosti DACHSER. </w:t>
      </w:r>
      <w:r w:rsidRPr="005A7B36">
        <w:rPr>
          <w:rFonts w:ascii="Arial" w:hAnsi="Arial" w:cs="Arial"/>
          <w:bCs/>
          <w:i/>
          <w:iCs/>
          <w:sz w:val="22"/>
          <w:lang w:eastAsia="cs-CZ"/>
        </w:rPr>
        <w:t>"Strategická poloha tejto novej pobočky ponúka zákazníkom v širšom okolí Lisabonu optimalizované časy tranzitu pri napájaní sa na hlavné európske trhy, a to pri zachovaní vysokej kvality služieb,"</w:t>
      </w:r>
      <w:r w:rsidRPr="005A7B36">
        <w:rPr>
          <w:rFonts w:ascii="Arial" w:hAnsi="Arial" w:cs="Arial"/>
          <w:bCs/>
          <w:sz w:val="22"/>
          <w:lang w:eastAsia="cs-CZ"/>
        </w:rPr>
        <w:t xml:space="preserve"> uzatvára.</w:t>
      </w:r>
    </w:p>
    <w:p w14:paraId="56752EE1" w14:textId="68944E65" w:rsidR="005A7B36" w:rsidRDefault="005A7B36" w:rsidP="005A7B36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</w:p>
    <w:p w14:paraId="698CA820" w14:textId="59FFAA80" w:rsidR="005A7B36" w:rsidRPr="005A7B36" w:rsidRDefault="005A7B36" w:rsidP="005A7B36">
      <w:pPr>
        <w:pStyle w:val="Nadpis3"/>
        <w:rPr>
          <w:rFonts w:cs="Arial"/>
          <w:color w:val="222222"/>
          <w:lang w:val="sk-SK"/>
        </w:rPr>
      </w:pPr>
      <w:r>
        <w:rPr>
          <w:rFonts w:cs="Arial"/>
          <w:color w:val="222222"/>
          <w:lang w:val="sk-SK"/>
        </w:rPr>
        <w:t>Spoločnosť DACHSER chce v Portugalsku na</w:t>
      </w:r>
      <w:r w:rsidR="00690D05">
        <w:rPr>
          <w:rFonts w:cs="Arial"/>
          <w:color w:val="222222"/>
          <w:lang w:val="sk-SK"/>
        </w:rPr>
        <w:t>ďalej rozširovať svoje aktivity</w:t>
      </w:r>
    </w:p>
    <w:p w14:paraId="1C905EAC" w14:textId="3CE0F1BF" w:rsidR="005A7B36" w:rsidRPr="005A7B36" w:rsidRDefault="00690D05" w:rsidP="005A7B36">
      <w:pPr>
        <w:pStyle w:val="Normal1"/>
        <w:spacing w:line="360" w:lineRule="auto"/>
        <w:jc w:val="both"/>
        <w:rPr>
          <w:rFonts w:ascii="Arial" w:hAnsi="Arial" w:cs="Arial"/>
          <w:bCs/>
          <w:sz w:val="22"/>
          <w:lang w:eastAsia="cs-CZ"/>
        </w:rPr>
      </w:pPr>
      <w:r w:rsidRPr="00690D05">
        <w:rPr>
          <w:rFonts w:ascii="Arial" w:hAnsi="Arial" w:cs="Arial"/>
          <w:bCs/>
          <w:sz w:val="22"/>
          <w:lang w:eastAsia="cs-CZ"/>
        </w:rPr>
        <w:t xml:space="preserve">Nové logistické centrum v Lisabone je druhým, ktoré spoločnosť DACHSER v Portugalsku od základu vybudovala - prvým bolo </w:t>
      </w:r>
      <w:proofErr w:type="spellStart"/>
      <w:r w:rsidRPr="00690D05">
        <w:rPr>
          <w:rFonts w:ascii="Arial" w:hAnsi="Arial" w:cs="Arial"/>
          <w:bCs/>
          <w:sz w:val="22"/>
          <w:lang w:eastAsia="cs-CZ"/>
        </w:rPr>
        <w:t>Condeixa</w:t>
      </w:r>
      <w:proofErr w:type="spellEnd"/>
      <w:r w:rsidRPr="00690D05">
        <w:rPr>
          <w:rFonts w:ascii="Arial" w:hAnsi="Arial" w:cs="Arial"/>
          <w:bCs/>
          <w:sz w:val="22"/>
          <w:lang w:eastAsia="cs-CZ"/>
        </w:rPr>
        <w:t xml:space="preserve">-a-Nova v </w:t>
      </w:r>
      <w:proofErr w:type="spellStart"/>
      <w:r w:rsidRPr="00690D05">
        <w:rPr>
          <w:rFonts w:ascii="Arial" w:hAnsi="Arial" w:cs="Arial"/>
          <w:bCs/>
          <w:sz w:val="22"/>
          <w:lang w:eastAsia="cs-CZ"/>
        </w:rPr>
        <w:t>Coimbre</w:t>
      </w:r>
      <w:proofErr w:type="spellEnd"/>
      <w:r w:rsidRPr="00690D05">
        <w:rPr>
          <w:rFonts w:ascii="Arial" w:hAnsi="Arial" w:cs="Arial"/>
          <w:bCs/>
          <w:sz w:val="22"/>
          <w:lang w:eastAsia="cs-CZ"/>
        </w:rPr>
        <w:t xml:space="preserve">. Spoločnosť DACHSER má dnes v Portugalsku šesť pobočiek, z ktorých päť sa venuje pozemnej preprave (Porto (dve pobočky), </w:t>
      </w:r>
      <w:proofErr w:type="spellStart"/>
      <w:r w:rsidRPr="00690D05">
        <w:rPr>
          <w:rFonts w:ascii="Arial" w:hAnsi="Arial" w:cs="Arial"/>
          <w:bCs/>
          <w:sz w:val="22"/>
          <w:lang w:eastAsia="cs-CZ"/>
        </w:rPr>
        <w:t>Coimbra</w:t>
      </w:r>
      <w:proofErr w:type="spellEnd"/>
      <w:r w:rsidRPr="00690D05">
        <w:rPr>
          <w:rFonts w:ascii="Arial" w:hAnsi="Arial" w:cs="Arial"/>
          <w:bCs/>
          <w:sz w:val="22"/>
          <w:lang w:eastAsia="cs-CZ"/>
        </w:rPr>
        <w:t xml:space="preserve">, Lisabon a </w:t>
      </w:r>
      <w:proofErr w:type="spellStart"/>
      <w:r w:rsidRPr="00690D05">
        <w:rPr>
          <w:rFonts w:ascii="Arial" w:hAnsi="Arial" w:cs="Arial"/>
          <w:bCs/>
          <w:sz w:val="22"/>
          <w:lang w:eastAsia="cs-CZ"/>
        </w:rPr>
        <w:t>Faro</w:t>
      </w:r>
      <w:proofErr w:type="spellEnd"/>
      <w:r w:rsidRPr="00690D05">
        <w:rPr>
          <w:rFonts w:ascii="Arial" w:hAnsi="Arial" w:cs="Arial"/>
          <w:bCs/>
          <w:sz w:val="22"/>
          <w:lang w:eastAsia="cs-CZ"/>
        </w:rPr>
        <w:t>) a jedna leteckej a námornej preprave (Porto), pričom chce svoje aktivity v krajine ďalej rozširovať. Podľa investičného plánu, ktorý má nadnárodná spoločnosť pre Portugalsko, sa v strednodobom horizonte očakáva otvorenie nového strediska vo Fare, ktoré bude mať modernizovanú infraštruktúru a bude väčšie ako existujúce centrá. Cieľom je zvýšiť kapacitu pre obsluhu zákazníkov logistického prevádzkovateľa v tomto regióne.</w:t>
      </w:r>
    </w:p>
    <w:p w14:paraId="207D02B8" w14:textId="77777777" w:rsidR="004D0DD8" w:rsidRDefault="004D0DD8" w:rsidP="006009AB">
      <w:pPr>
        <w:pStyle w:val="Normal1"/>
        <w:rPr>
          <w:rFonts w:ascii="Helvetica" w:hAnsi="Helvetica"/>
          <w:color w:val="222222"/>
        </w:rPr>
      </w:pPr>
    </w:p>
    <w:p w14:paraId="2B992DC2" w14:textId="0C51A098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040EF94" w14:textId="38B30D28" w:rsidR="00F81927" w:rsidRPr="00957ABB" w:rsidRDefault="006009AB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B3CE1AD" w14:textId="76DE100D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401AC04E" w14:textId="5D50344B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68F317C8" w14:textId="50E43B22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7A1B5BFB" w14:textId="77777777" w:rsidR="004D0DD8" w:rsidRDefault="004D0DD8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216350B1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B9ADE" w14:textId="77777777" w:rsidR="007237D5" w:rsidRDefault="007237D5" w:rsidP="007F4C70">
      <w:pPr>
        <w:spacing w:after="0" w:line="240" w:lineRule="auto"/>
      </w:pPr>
      <w:r>
        <w:separator/>
      </w:r>
    </w:p>
    <w:p w14:paraId="3D10F0CB" w14:textId="77777777" w:rsidR="007237D5" w:rsidRDefault="007237D5"/>
    <w:p w14:paraId="4DF273C9" w14:textId="77777777" w:rsidR="007237D5" w:rsidRDefault="007237D5"/>
    <w:p w14:paraId="6950D044" w14:textId="77777777" w:rsidR="007237D5" w:rsidRDefault="007237D5"/>
  </w:endnote>
  <w:endnote w:type="continuationSeparator" w:id="0">
    <w:p w14:paraId="6B4132A9" w14:textId="77777777" w:rsidR="007237D5" w:rsidRDefault="007237D5" w:rsidP="007F4C70">
      <w:pPr>
        <w:spacing w:after="0" w:line="240" w:lineRule="auto"/>
      </w:pPr>
      <w:r>
        <w:continuationSeparator/>
      </w:r>
    </w:p>
    <w:p w14:paraId="3F41774E" w14:textId="77777777" w:rsidR="007237D5" w:rsidRDefault="007237D5"/>
    <w:p w14:paraId="4D8AB331" w14:textId="77777777" w:rsidR="007237D5" w:rsidRDefault="007237D5"/>
    <w:p w14:paraId="5D09400E" w14:textId="77777777" w:rsidR="007237D5" w:rsidRDefault="007237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52E93" w14:textId="77777777" w:rsidR="007237D5" w:rsidRDefault="007237D5" w:rsidP="007F4C70">
      <w:pPr>
        <w:spacing w:after="0" w:line="240" w:lineRule="auto"/>
      </w:pPr>
      <w:r>
        <w:separator/>
      </w:r>
    </w:p>
    <w:p w14:paraId="498890B9" w14:textId="77777777" w:rsidR="007237D5" w:rsidRDefault="007237D5"/>
    <w:p w14:paraId="1724E273" w14:textId="77777777" w:rsidR="007237D5" w:rsidRDefault="007237D5"/>
    <w:p w14:paraId="7D101610" w14:textId="77777777" w:rsidR="007237D5" w:rsidRDefault="007237D5"/>
  </w:footnote>
  <w:footnote w:type="continuationSeparator" w:id="0">
    <w:p w14:paraId="33C8894A" w14:textId="77777777" w:rsidR="007237D5" w:rsidRDefault="007237D5" w:rsidP="007F4C70">
      <w:pPr>
        <w:spacing w:after="0" w:line="240" w:lineRule="auto"/>
      </w:pPr>
      <w:r>
        <w:continuationSeparator/>
      </w:r>
    </w:p>
    <w:p w14:paraId="2F47A47D" w14:textId="77777777" w:rsidR="007237D5" w:rsidRDefault="007237D5"/>
    <w:p w14:paraId="6A7E299F" w14:textId="77777777" w:rsidR="007237D5" w:rsidRDefault="007237D5"/>
    <w:p w14:paraId="050FAD47" w14:textId="77777777" w:rsidR="007237D5" w:rsidRDefault="007237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A754B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E494D"/>
    <w:rsid w:val="0040700F"/>
    <w:rsid w:val="0041428E"/>
    <w:rsid w:val="00435FD2"/>
    <w:rsid w:val="004679B4"/>
    <w:rsid w:val="004720C4"/>
    <w:rsid w:val="00490984"/>
    <w:rsid w:val="004D0DD8"/>
    <w:rsid w:val="004E5C15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74BD"/>
    <w:rsid w:val="0058115A"/>
    <w:rsid w:val="0058340A"/>
    <w:rsid w:val="00583823"/>
    <w:rsid w:val="00590FFF"/>
    <w:rsid w:val="005A55A0"/>
    <w:rsid w:val="005A722D"/>
    <w:rsid w:val="005A7B36"/>
    <w:rsid w:val="005C4EB5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90D05"/>
    <w:rsid w:val="006A050F"/>
    <w:rsid w:val="006D1CA2"/>
    <w:rsid w:val="006E0D2C"/>
    <w:rsid w:val="0072158F"/>
    <w:rsid w:val="007237D5"/>
    <w:rsid w:val="0072679D"/>
    <w:rsid w:val="00730925"/>
    <w:rsid w:val="00731514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7ABB"/>
    <w:rsid w:val="00962A1E"/>
    <w:rsid w:val="00983A43"/>
    <w:rsid w:val="009946CB"/>
    <w:rsid w:val="009B4CBF"/>
    <w:rsid w:val="009B794C"/>
    <w:rsid w:val="009B7B84"/>
    <w:rsid w:val="009D1C77"/>
    <w:rsid w:val="009D5FC7"/>
    <w:rsid w:val="009E24A1"/>
    <w:rsid w:val="00A11558"/>
    <w:rsid w:val="00A1196B"/>
    <w:rsid w:val="00A57BED"/>
    <w:rsid w:val="00A60C6C"/>
    <w:rsid w:val="00A666FC"/>
    <w:rsid w:val="00A77F88"/>
    <w:rsid w:val="00A86722"/>
    <w:rsid w:val="00A95B37"/>
    <w:rsid w:val="00A96BC1"/>
    <w:rsid w:val="00AA2445"/>
    <w:rsid w:val="00AB1A55"/>
    <w:rsid w:val="00AC60B2"/>
    <w:rsid w:val="00AE228D"/>
    <w:rsid w:val="00AF58E5"/>
    <w:rsid w:val="00AF654C"/>
    <w:rsid w:val="00B1437D"/>
    <w:rsid w:val="00B17689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C6257"/>
    <w:rsid w:val="00BD07B8"/>
    <w:rsid w:val="00BD4016"/>
    <w:rsid w:val="00BE7260"/>
    <w:rsid w:val="00BF4729"/>
    <w:rsid w:val="00C333DD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75A"/>
    <w:rsid w:val="00F813D4"/>
    <w:rsid w:val="00F81927"/>
    <w:rsid w:val="00F933BB"/>
    <w:rsid w:val="00FA7E5D"/>
    <w:rsid w:val="00FB0F54"/>
    <w:rsid w:val="00FC0EDC"/>
    <w:rsid w:val="00FC4A8F"/>
    <w:rsid w:val="00FE02F7"/>
    <w:rsid w:val="00FE4426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5</TotalTime>
  <Pages>3</Pages>
  <Words>990</Words>
  <Characters>5843</Characters>
  <Application>Microsoft Office Word</Application>
  <DocSecurity>4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2022-07-07T08:32:00Z</dcterms:created>
  <dcterms:modified xsi:type="dcterms:W3CDTF">2022-07-07T08:32:00Z</dcterms:modified>
</cp:coreProperties>
</file>